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D" w:rsidRPr="00EB611E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/>
        </w:rPr>
        <w:t>Ofício. nº.</w:t>
      </w:r>
      <w:r w:rsidR="00D93902">
        <w:rPr>
          <w:rFonts w:ascii="Calibri Light" w:hAnsi="Calibri Light" w:cs="Calibri Light"/>
          <w:b/>
        </w:rPr>
        <w:t>11</w:t>
      </w:r>
      <w:r w:rsidRPr="00EB611E">
        <w:rPr>
          <w:rFonts w:ascii="Calibri Light" w:hAnsi="Calibri Light" w:cs="Calibri Light"/>
          <w:b/>
        </w:rPr>
        <w:t xml:space="preserve"> /202</w:t>
      </w:r>
      <w:r w:rsidR="00C57601" w:rsidRPr="00EB611E">
        <w:rPr>
          <w:rFonts w:ascii="Calibri Light" w:hAnsi="Calibri Light" w:cs="Calibri Light"/>
          <w:b/>
        </w:rPr>
        <w:t>2</w:t>
      </w:r>
      <w:r w:rsidRPr="00EB611E">
        <w:rPr>
          <w:rFonts w:ascii="Calibri Light" w:hAnsi="Calibri Light" w:cs="Calibri Light"/>
          <w:bCs/>
        </w:rPr>
        <w:t xml:space="preserve"> – </w:t>
      </w:r>
      <w:r w:rsidRPr="00E370BA">
        <w:rPr>
          <w:rFonts w:ascii="Calibri Light" w:hAnsi="Calibri Light" w:cs="Calibri Light"/>
          <w:b/>
          <w:bCs/>
        </w:rPr>
        <w:t>Diretoria Executiva do SISPJAC</w:t>
      </w:r>
      <w:r w:rsidR="00AB14DF" w:rsidRPr="00E370BA">
        <w:rPr>
          <w:rFonts w:ascii="Calibri Light" w:hAnsi="Calibri Light" w:cs="Calibri Light"/>
          <w:b/>
          <w:bCs/>
        </w:rPr>
        <w:t>I</w:t>
      </w:r>
    </w:p>
    <w:p w:rsidR="00EB611E" w:rsidRDefault="00425122" w:rsidP="00EB611E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Assunto:</w:t>
      </w:r>
    </w:p>
    <w:p w:rsidR="00E20CCD" w:rsidRPr="00EB611E" w:rsidRDefault="00EB611E" w:rsidP="00EB611E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  <w:u w:val="single"/>
        </w:rPr>
        <w:t>IMPLANTAÇÃO E ADEQUAÇÃO DOS VENCIMENTOS DOS ACS E ACE – EMENDA CONSTITUCIONAL 120/2022</w:t>
      </w:r>
    </w:p>
    <w:p w:rsidR="00255E4C" w:rsidRPr="00EB611E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 xml:space="preserve">À Excelentíssima Senhora Prefeita, </w:t>
      </w:r>
      <w:r w:rsidR="00EB611E" w:rsidRPr="00EB611E">
        <w:rPr>
          <w:rFonts w:ascii="Calibri Light" w:hAnsi="Calibri Light" w:cs="Calibri Light"/>
          <w:b/>
        </w:rPr>
        <w:t>Andréia Wagner</w:t>
      </w:r>
    </w:p>
    <w:p w:rsidR="00255E4C" w:rsidRPr="00D93902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Theme="minorHAnsi" w:hAnsiTheme="minorHAnsi" w:cs="Calibri Light"/>
          <w:b/>
          <w:bCs/>
          <w:color w:val="000000" w:themeColor="text1"/>
        </w:rPr>
      </w:pPr>
      <w:r w:rsidRPr="00D93902">
        <w:rPr>
          <w:rFonts w:asciiTheme="minorHAnsi" w:hAnsiTheme="minorHAnsi" w:cs="Calibri Light"/>
          <w:b/>
          <w:bCs/>
          <w:color w:val="000000" w:themeColor="text1"/>
        </w:rPr>
        <w:t xml:space="preserve">Cópia: Ao Ilmo Sr. </w:t>
      </w:r>
      <w:r w:rsidR="00D93902" w:rsidRPr="00D93902">
        <w:rPr>
          <w:rFonts w:asciiTheme="minorHAnsi" w:hAnsiTheme="minorHAnsi" w:cs="Arial"/>
          <w:b/>
          <w:color w:val="000000" w:themeColor="text1"/>
        </w:rPr>
        <w:t>Welington Raimundo dos Santos</w:t>
      </w:r>
      <w:r w:rsidR="00014A38" w:rsidRPr="00D93902">
        <w:rPr>
          <w:rFonts w:asciiTheme="minorHAnsi" w:hAnsiTheme="minorHAnsi" w:cs="Calibri Light"/>
          <w:b/>
          <w:bCs/>
          <w:color w:val="000000" w:themeColor="text1"/>
        </w:rPr>
        <w:t xml:space="preserve"> </w:t>
      </w:r>
      <w:r w:rsidRPr="00D93902">
        <w:rPr>
          <w:rFonts w:asciiTheme="minorHAnsi" w:hAnsiTheme="minorHAnsi" w:cs="Calibri Light"/>
          <w:b/>
          <w:bCs/>
          <w:color w:val="000000" w:themeColor="text1"/>
        </w:rPr>
        <w:t>– Secretário Municipal de</w:t>
      </w:r>
      <w:r w:rsidR="00D93902" w:rsidRPr="00D93902">
        <w:rPr>
          <w:rFonts w:asciiTheme="minorHAnsi" w:hAnsiTheme="minorHAnsi" w:cs="Calibri Light"/>
          <w:b/>
          <w:bCs/>
          <w:color w:val="000000" w:themeColor="text1"/>
        </w:rPr>
        <w:t xml:space="preserve"> Adm. e</w:t>
      </w:r>
      <w:r w:rsidRPr="00D93902">
        <w:rPr>
          <w:rFonts w:asciiTheme="minorHAnsi" w:hAnsiTheme="minorHAnsi" w:cs="Calibri Light"/>
          <w:b/>
          <w:bCs/>
          <w:color w:val="000000" w:themeColor="text1"/>
        </w:rPr>
        <w:t xml:space="preserve"> Finanças</w:t>
      </w:r>
    </w:p>
    <w:p w:rsidR="00255E4C" w:rsidRPr="00D93902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bCs/>
        </w:rPr>
      </w:pPr>
      <w:r w:rsidRPr="00D93902">
        <w:rPr>
          <w:rFonts w:ascii="Calibri Light" w:hAnsi="Calibri Light" w:cs="Calibri Light"/>
          <w:b/>
          <w:bCs/>
        </w:rPr>
        <w:t>Cópia: Ao Ilmo Sr. Josimar Marsuel Matsumoto – Recursos Humanos</w:t>
      </w:r>
    </w:p>
    <w:p w:rsidR="00425122" w:rsidRPr="00EB611E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 xml:space="preserve">Ao tempo em que cumprimentamos Vossa </w:t>
      </w:r>
      <w:r w:rsidR="00B26E8D" w:rsidRPr="00EB611E">
        <w:rPr>
          <w:rFonts w:ascii="Calibri Light" w:hAnsi="Calibri Light" w:cs="Calibri Light"/>
          <w:bCs/>
        </w:rPr>
        <w:t>Senhoria:</w:t>
      </w:r>
    </w:p>
    <w:p w:rsidR="0054520B" w:rsidRPr="00EB611E" w:rsidRDefault="00255E4C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  <w:t xml:space="preserve">Como é de conhecimento de todos, no </w:t>
      </w:r>
      <w:r w:rsidR="0054520B" w:rsidRPr="00EB611E">
        <w:rPr>
          <w:rFonts w:ascii="Calibri Light" w:hAnsi="Calibri Light" w:cs="Calibri Light"/>
          <w:bCs/>
        </w:rPr>
        <w:t>último</w:t>
      </w:r>
      <w:r w:rsidRPr="00EB611E">
        <w:rPr>
          <w:rFonts w:ascii="Calibri Light" w:hAnsi="Calibri Light" w:cs="Calibri Light"/>
          <w:bCs/>
        </w:rPr>
        <w:t xml:space="preserve"> dia 06 de maio de do ano corrente, foi publicado no Diário Oficial da União a </w:t>
      </w:r>
      <w:r w:rsidRPr="00EB611E">
        <w:rPr>
          <w:rFonts w:ascii="Calibri Light" w:hAnsi="Calibri Light" w:cs="Calibri Light"/>
          <w:b/>
        </w:rPr>
        <w:t>Emenda Constitucional n° 120/2022</w:t>
      </w:r>
      <w:r w:rsidRPr="00EB611E">
        <w:rPr>
          <w:rFonts w:ascii="Calibri Light" w:hAnsi="Calibri Light" w:cs="Calibri Light"/>
          <w:bCs/>
        </w:rPr>
        <w:t>, que acrescentou os parágrafos 7°, 8°, 9°, 10 e 11 ao artigo 198 da Carta Magna</w:t>
      </w:r>
      <w:r w:rsidR="0054520B" w:rsidRPr="00EB611E">
        <w:rPr>
          <w:rFonts w:ascii="Calibri Light" w:hAnsi="Calibri Light" w:cs="Calibri Light"/>
          <w:bCs/>
        </w:rPr>
        <w:t>, no qual dispõe sobre a responsabilidade financeira da União, corresponsável pelo Sistema Único de Saúde (SUS), na política remuneratória e na valorização dos profissionais que exercem atividades de agente comunitário de saúde e de agente de combate às endemias</w:t>
      </w:r>
      <w:r w:rsidR="0024434E" w:rsidRPr="00EB611E">
        <w:rPr>
          <w:rFonts w:ascii="Calibri Light" w:hAnsi="Calibri Light" w:cs="Calibri Light"/>
          <w:bCs/>
        </w:rPr>
        <w:t>.</w:t>
      </w:r>
    </w:p>
    <w:p w:rsidR="0024434E" w:rsidRPr="00EB611E" w:rsidRDefault="0024434E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</w:r>
      <w:r w:rsidR="00CA6DC7" w:rsidRPr="00EB611E">
        <w:rPr>
          <w:rFonts w:ascii="Calibri Light" w:hAnsi="Calibri Light" w:cs="Calibri Light"/>
          <w:bCs/>
        </w:rPr>
        <w:t>Com efeito, a Emenda Constitucional de forma considerável altera os dispositivos da Lei Federal n° 12.994/2014</w:t>
      </w:r>
      <w:r w:rsidR="00A02738" w:rsidRPr="00EB611E">
        <w:rPr>
          <w:rFonts w:ascii="Calibri Light" w:hAnsi="Calibri Light" w:cs="Calibri Light"/>
          <w:bCs/>
        </w:rPr>
        <w:t xml:space="preserve"> e, especialmente fixou no texto constitucional o paragrafo nono do artigo 198 o VENCIMENTO MÍNIMO base para os Agentes Comunitários de Saúde e Agentes de Combate às Endemias, o que perfaz o equivalente a 02 (dois) salários mínimos vigentes no País, dispensando assim, qualquer regulamentação que venha postergar a sua imediata aplicação junto à municipalidade, seja sobre o percentual aplicado ou data para implantação.</w:t>
      </w:r>
    </w:p>
    <w:p w:rsidR="008B71F8" w:rsidRPr="00EB611E" w:rsidRDefault="008B71F8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  <w:t>Ademais, o par</w:t>
      </w:r>
      <w:r w:rsidR="00223BF8" w:rsidRPr="00EB611E">
        <w:rPr>
          <w:rFonts w:ascii="Calibri Light" w:hAnsi="Calibri Light" w:cs="Calibri Light"/>
          <w:bCs/>
        </w:rPr>
        <w:t xml:space="preserve">ágrafo supramencionado dispõe que a partir da promulgação da EC 120/2022 fica </w:t>
      </w:r>
      <w:r w:rsidR="00C23375" w:rsidRPr="00EB611E">
        <w:rPr>
          <w:rFonts w:ascii="Calibri Light" w:hAnsi="Calibri Light" w:cs="Calibri Light"/>
          <w:bCs/>
        </w:rPr>
        <w:t xml:space="preserve">à </w:t>
      </w:r>
      <w:r w:rsidR="00223BF8" w:rsidRPr="00EB611E">
        <w:rPr>
          <w:rFonts w:ascii="Calibri Light" w:hAnsi="Calibri Light" w:cs="Calibri Light"/>
          <w:bCs/>
        </w:rPr>
        <w:t>cargo do Governo Federal o pagamento integral do valor dos VENCIMENTOS dos Agentes Comunitários de Saúde e Agentes de Combate às Endemias</w:t>
      </w:r>
      <w:r w:rsidR="00C23375" w:rsidRPr="00EB611E">
        <w:rPr>
          <w:rFonts w:ascii="Calibri Light" w:hAnsi="Calibri Light" w:cs="Calibri Light"/>
          <w:bCs/>
        </w:rPr>
        <w:t>, restando dessa maneira excluído do cálculo</w:t>
      </w:r>
      <w:r w:rsidR="00B22F08">
        <w:rPr>
          <w:rFonts w:ascii="Calibri Light" w:hAnsi="Calibri Light" w:cs="Calibri Light"/>
          <w:bCs/>
        </w:rPr>
        <w:t xml:space="preserve"> </w:t>
      </w:r>
      <w:r w:rsidR="00C23375" w:rsidRPr="00EB611E">
        <w:rPr>
          <w:rFonts w:ascii="Calibri Light" w:hAnsi="Calibri Light" w:cs="Calibri Light"/>
          <w:bCs/>
        </w:rPr>
        <w:t>para fins do limite de despesa com pessoal todos os valores dos recursos</w:t>
      </w:r>
      <w:r w:rsidR="00B22F08">
        <w:rPr>
          <w:rFonts w:ascii="Calibri Light" w:hAnsi="Calibri Light" w:cs="Calibri Light"/>
          <w:bCs/>
        </w:rPr>
        <w:t xml:space="preserve"> </w:t>
      </w:r>
      <w:r w:rsidR="00C23375" w:rsidRPr="00EB611E">
        <w:rPr>
          <w:rFonts w:ascii="Calibri Light" w:hAnsi="Calibri Light" w:cs="Calibri Light"/>
          <w:bCs/>
        </w:rPr>
        <w:t>financeiros repassados pela União para pagamento dos vencimentos mensais dos ACE e ACS</w:t>
      </w:r>
      <w:r w:rsidR="005B197F" w:rsidRPr="00EB611E">
        <w:rPr>
          <w:rFonts w:ascii="Calibri Light" w:hAnsi="Calibri Light" w:cs="Calibri Light"/>
          <w:bCs/>
        </w:rPr>
        <w:t xml:space="preserve">, conforme parágrafo 11 do artigo 198,  logo, diminuindo assim eventual  </w:t>
      </w:r>
      <w:r w:rsidRPr="00EB611E">
        <w:rPr>
          <w:rFonts w:ascii="Calibri Light" w:hAnsi="Calibri Light" w:cs="Calibri Light"/>
          <w:bCs/>
        </w:rPr>
        <w:t xml:space="preserve">impacto </w:t>
      </w:r>
      <w:r w:rsidRPr="00EB611E">
        <w:rPr>
          <w:rFonts w:ascii="Calibri Light" w:hAnsi="Calibri Light" w:cs="Calibri Light"/>
          <w:bCs/>
        </w:rPr>
        <w:lastRenderedPageBreak/>
        <w:t>no índice de comprometimento das despesas de pessoal</w:t>
      </w:r>
      <w:r w:rsidR="00B22F08">
        <w:rPr>
          <w:rFonts w:ascii="Calibri Light" w:hAnsi="Calibri Light" w:cs="Calibri Light"/>
          <w:bCs/>
        </w:rPr>
        <w:t xml:space="preserve"> </w:t>
      </w:r>
      <w:r w:rsidRPr="00EB611E">
        <w:rPr>
          <w:rFonts w:ascii="Calibri Light" w:hAnsi="Calibri Light" w:cs="Calibri Light"/>
          <w:bCs/>
        </w:rPr>
        <w:t>na forma do art. 20, inc. III, letra b da Lei Complementar 101/2000.</w:t>
      </w:r>
    </w:p>
    <w:p w:rsidR="00EB611E" w:rsidRPr="00EB611E" w:rsidRDefault="008644EE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ab/>
        <w:t>Consigna-se ainda que, os ACE e ACS</w:t>
      </w:r>
      <w:r w:rsidR="00BA2F0E" w:rsidRPr="00EB611E">
        <w:rPr>
          <w:rFonts w:ascii="Calibri Light" w:hAnsi="Calibri Light" w:cs="Calibri Light"/>
          <w:bCs/>
        </w:rPr>
        <w:t xml:space="preserve">, além do vencimento </w:t>
      </w:r>
      <w:r w:rsidR="00107DCA" w:rsidRPr="00EB611E">
        <w:rPr>
          <w:rFonts w:ascii="Calibri Light" w:hAnsi="Calibri Light" w:cs="Calibri Light"/>
          <w:bCs/>
        </w:rPr>
        <w:t>equivalente a 02</w:t>
      </w:r>
      <w:r w:rsidR="00BA2F0E" w:rsidRPr="00EB611E">
        <w:rPr>
          <w:rFonts w:ascii="Calibri Light" w:hAnsi="Calibri Light" w:cs="Calibri Light"/>
          <w:bCs/>
        </w:rPr>
        <w:t xml:space="preserve"> (dois) </w:t>
      </w:r>
      <w:r w:rsidR="00107DCA" w:rsidRPr="00EB611E">
        <w:rPr>
          <w:rFonts w:ascii="Calibri Light" w:hAnsi="Calibri Light" w:cs="Calibri Light"/>
          <w:bCs/>
        </w:rPr>
        <w:t>salários-mínimos com a chegada da EC 120/2022, estabeleceu o direito do recebimento do adicional de insalubridade, em razão dos riscos inerentes às funções desempenhadas, conforme disposto no §</w:t>
      </w:r>
      <w:r w:rsidR="00BF36B3" w:rsidRPr="00EB611E">
        <w:rPr>
          <w:rFonts w:ascii="Calibri Light" w:hAnsi="Calibri Light" w:cs="Calibri Light"/>
          <w:bCs/>
        </w:rPr>
        <w:t>10</w:t>
      </w:r>
      <w:r w:rsidR="00107DCA" w:rsidRPr="00EB611E">
        <w:rPr>
          <w:rFonts w:ascii="Calibri Light" w:hAnsi="Calibri Light" w:cs="Calibri Light"/>
          <w:bCs/>
        </w:rPr>
        <w:t xml:space="preserve"> da emenda</w:t>
      </w:r>
      <w:r w:rsidR="00BF36B3" w:rsidRPr="00EB611E">
        <w:rPr>
          <w:rFonts w:ascii="Calibri Light" w:hAnsi="Calibri Light" w:cs="Calibri Light"/>
          <w:bCs/>
        </w:rPr>
        <w:t>.</w:t>
      </w:r>
    </w:p>
    <w:p w:rsidR="008644EE" w:rsidRDefault="008644EE" w:rsidP="00EB611E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>Portanto, tendo em vista a referida política de valorização da categoria dos cargos dos Agentes Comunitários de Saúde e Agentes de Combate às Endemias com implementação complementar pelos Municípios, nos termos da Emenda Constitucional 120/2022, vem respeitosamente a presença de Vossa Excelência, requerer:</w:t>
      </w:r>
    </w:p>
    <w:p w:rsidR="00AE309C" w:rsidRDefault="00EB611E" w:rsidP="00AE309C">
      <w:pPr>
        <w:pStyle w:val="PargrafodaLista"/>
        <w:numPr>
          <w:ilvl w:val="0"/>
          <w:numId w:val="11"/>
        </w:num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DB3477">
        <w:rPr>
          <w:rFonts w:ascii="Calibri Light" w:hAnsi="Calibri Light" w:cs="Calibri Light"/>
          <w:bCs/>
        </w:rPr>
        <w:t xml:space="preserve">A implantação imediata do pagamento do vencimento mínimo dos ACE e ACS no importe de R$ 2.424,00 (dois mil quatrocentos e vinte quatro reais) para aqueles que estejam recebendo em seu vencimento base o valor inferior aos 02 (dois) </w:t>
      </w:r>
      <w:r w:rsidR="00B62AB2" w:rsidRPr="00DB3477">
        <w:rPr>
          <w:rFonts w:ascii="Calibri Light" w:hAnsi="Calibri Light" w:cs="Calibri Light"/>
          <w:bCs/>
        </w:rPr>
        <w:t>salários-mínimos</w:t>
      </w:r>
      <w:r w:rsidR="00DB3477" w:rsidRPr="00DB3477">
        <w:rPr>
          <w:rFonts w:ascii="Calibri Light" w:hAnsi="Calibri Light" w:cs="Calibri Light"/>
          <w:bCs/>
        </w:rPr>
        <w:t xml:space="preserve">, com fulcro no §9° da EC 120/2022, além da implementação imediata do pagamento do adicional de insalubridade calculados sobre o vencimento base do servidor, </w:t>
      </w:r>
      <w:r w:rsidR="00DB3477">
        <w:rPr>
          <w:rFonts w:ascii="Calibri Light" w:hAnsi="Calibri Light" w:cs="Calibri Light"/>
          <w:bCs/>
        </w:rPr>
        <w:t>com fulcro no §10 da emenda constitucional.</w:t>
      </w:r>
    </w:p>
    <w:p w:rsidR="00AE309C" w:rsidRDefault="00AE309C" w:rsidP="00AE309C">
      <w:pPr>
        <w:pStyle w:val="PargrafodaLista"/>
        <w:numPr>
          <w:ilvl w:val="0"/>
          <w:numId w:val="11"/>
        </w:num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A atualização do PCCS do cargo de </w:t>
      </w:r>
      <w:r w:rsidRPr="00EB611E">
        <w:rPr>
          <w:rFonts w:ascii="Calibri Light" w:hAnsi="Calibri Light" w:cs="Calibri Light"/>
          <w:bCs/>
        </w:rPr>
        <w:t>Agentes Comunitários de Saúde e Agentes de Combate às Endemias</w:t>
      </w:r>
      <w:r w:rsidR="00FE329A">
        <w:rPr>
          <w:rFonts w:ascii="Calibri Light" w:hAnsi="Calibri Light" w:cs="Calibri Light"/>
          <w:bCs/>
        </w:rPr>
        <w:t xml:space="preserve"> juntamente com a tabela de vencimentos e progressões horizontais e verticais, </w:t>
      </w:r>
      <w:r w:rsidR="001D0A19">
        <w:rPr>
          <w:rFonts w:ascii="Calibri Light" w:hAnsi="Calibri Light" w:cs="Calibri Light"/>
          <w:bCs/>
        </w:rPr>
        <w:t xml:space="preserve">se atentando para que o valor inicial da carreira seja o importe de </w:t>
      </w:r>
      <w:r w:rsidR="001D0A19" w:rsidRPr="00DB3477">
        <w:rPr>
          <w:rFonts w:ascii="Calibri Light" w:hAnsi="Calibri Light" w:cs="Calibri Light"/>
          <w:bCs/>
        </w:rPr>
        <w:t>R$ 2.424,00 (dois mil quatrocentos e vinte quatro reais)</w:t>
      </w:r>
      <w:r w:rsidR="0080233A">
        <w:rPr>
          <w:rFonts w:ascii="Calibri Light" w:hAnsi="Calibri Light" w:cs="Calibri Light"/>
          <w:bCs/>
        </w:rPr>
        <w:t xml:space="preserve"> no ano de 2022 e atualizado ano a ano conforme atualização do salário-mínimo realizado em janeiro</w:t>
      </w:r>
    </w:p>
    <w:p w:rsidR="00D94DDF" w:rsidRDefault="00746620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 w:rsidRPr="00AE309C">
        <w:rPr>
          <w:rFonts w:ascii="Calibri Light" w:hAnsi="Calibri Light" w:cs="Calibri Light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AE309C">
        <w:rPr>
          <w:rFonts w:ascii="Calibri Light" w:hAnsi="Calibri Light" w:cs="Calibri Light"/>
        </w:rPr>
        <w:t>, aguardando assim as providencias necessárias ao cumprimento da Emenda Constitucional n° 120/2022.</w:t>
      </w:r>
    </w:p>
    <w:p w:rsidR="00D93902" w:rsidRDefault="00D93902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</w:p>
    <w:p w:rsidR="00D93902" w:rsidRDefault="00D93902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</w:p>
    <w:p w:rsidR="00D93902" w:rsidRDefault="00D93902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</w:p>
    <w:p w:rsidR="00D93902" w:rsidRDefault="00D93902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</w:p>
    <w:p w:rsidR="00AE309C" w:rsidRDefault="00AE309C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Contamos com a agilidade e atendimento da pauta acima, </w:t>
      </w:r>
    </w:p>
    <w:p w:rsidR="009D2D34" w:rsidRPr="00EB611E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</w:rPr>
      </w:pPr>
      <w:r w:rsidRPr="00EB611E">
        <w:rPr>
          <w:rFonts w:ascii="Calibri Light" w:hAnsi="Calibri Light" w:cs="Calibri Light"/>
        </w:rPr>
        <w:t>Sem mais</w:t>
      </w:r>
    </w:p>
    <w:p w:rsidR="009D2D34" w:rsidRPr="00EB611E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</w:rPr>
        <w:t xml:space="preserve">Jaciara/MT em, </w:t>
      </w:r>
      <w:r w:rsidR="0080233A">
        <w:rPr>
          <w:rFonts w:ascii="Calibri Light" w:hAnsi="Calibri Light" w:cs="Calibri Light"/>
        </w:rPr>
        <w:t>08 de junho de 2022</w:t>
      </w:r>
    </w:p>
    <w:p w:rsidR="00425122" w:rsidRPr="00EB611E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</w:rPr>
      </w:pPr>
    </w:p>
    <w:p w:rsidR="00425122" w:rsidRPr="00EB611E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VANUBERCI F. MONTEIRO DA SILVA.</w:t>
      </w:r>
    </w:p>
    <w:p w:rsidR="00C81128" w:rsidRPr="0080233A" w:rsidRDefault="009D2D34" w:rsidP="0080233A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PRESIDENTE DO SISPJACI.</w:t>
      </w:r>
    </w:p>
    <w:sectPr w:rsidR="00C81128" w:rsidRPr="0080233A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4AC" w:rsidRDefault="001434AC" w:rsidP="00862047">
      <w:r>
        <w:separator/>
      </w:r>
    </w:p>
  </w:endnote>
  <w:endnote w:type="continuationSeparator" w:id="1">
    <w:p w:rsidR="001434AC" w:rsidRDefault="001434AC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4AC" w:rsidRDefault="001434AC" w:rsidP="00862047">
      <w:r>
        <w:separator/>
      </w:r>
    </w:p>
  </w:footnote>
  <w:footnote w:type="continuationSeparator" w:id="1">
    <w:p w:rsidR="001434AC" w:rsidRDefault="001434AC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255E4C" w:rsidRDefault="00255E4C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-211454</wp:posOffset>
          </wp:positionV>
          <wp:extent cx="693854" cy="6096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23" cy="612384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-211454</wp:posOffset>
          </wp:positionV>
          <wp:extent cx="715537" cy="628650"/>
          <wp:effectExtent l="0" t="0" r="889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99" cy="63098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255E4C">
      <w:rPr>
        <w:rFonts w:ascii="Calibri Light" w:hAnsi="Calibri Light" w:cs="Calibri Light"/>
        <w:b/>
        <w:sz w:val="18"/>
        <w:szCs w:val="18"/>
      </w:rPr>
      <w:t>SINDICATO DOS SERVIDORES PÚBLICOS MUNICIPAIS DE JACIARA</w:t>
    </w:r>
  </w:p>
  <w:p w:rsidR="00831BDD" w:rsidRPr="00255E4C" w:rsidRDefault="00862047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CNPJ: 11.141.831/0001-08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Rua: Jurucê, 1323 Centro – Jaciara-MT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06B0"/>
    <w:multiLevelType w:val="hybridMultilevel"/>
    <w:tmpl w:val="02527FEA"/>
    <w:lvl w:ilvl="0" w:tplc="D5B6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4A38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07DCA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434AC"/>
    <w:rsid w:val="001527B9"/>
    <w:rsid w:val="00164BAE"/>
    <w:rsid w:val="00166B00"/>
    <w:rsid w:val="00166D47"/>
    <w:rsid w:val="00173ED1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0A1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3BF8"/>
    <w:rsid w:val="002250C9"/>
    <w:rsid w:val="002301FC"/>
    <w:rsid w:val="00232DAF"/>
    <w:rsid w:val="002372D8"/>
    <w:rsid w:val="00240A98"/>
    <w:rsid w:val="00241310"/>
    <w:rsid w:val="00241CF9"/>
    <w:rsid w:val="0024434E"/>
    <w:rsid w:val="00245FC7"/>
    <w:rsid w:val="00247CFC"/>
    <w:rsid w:val="00254A4D"/>
    <w:rsid w:val="00255E4C"/>
    <w:rsid w:val="00264971"/>
    <w:rsid w:val="00271CF0"/>
    <w:rsid w:val="00285E68"/>
    <w:rsid w:val="0028748E"/>
    <w:rsid w:val="002924AD"/>
    <w:rsid w:val="002939B4"/>
    <w:rsid w:val="002A10FA"/>
    <w:rsid w:val="002A17A3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4F4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379F9"/>
    <w:rsid w:val="00540093"/>
    <w:rsid w:val="0054520B"/>
    <w:rsid w:val="005539AE"/>
    <w:rsid w:val="005540A9"/>
    <w:rsid w:val="00562CE1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197F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65509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576"/>
    <w:rsid w:val="00710689"/>
    <w:rsid w:val="007203D5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04B3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469B"/>
    <w:rsid w:val="007D703F"/>
    <w:rsid w:val="007D7E8B"/>
    <w:rsid w:val="007E3D3C"/>
    <w:rsid w:val="007F0597"/>
    <w:rsid w:val="007F0D7F"/>
    <w:rsid w:val="007F23DD"/>
    <w:rsid w:val="007F34B9"/>
    <w:rsid w:val="007F6279"/>
    <w:rsid w:val="0080233A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44EE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B71F8"/>
    <w:rsid w:val="008C2ECC"/>
    <w:rsid w:val="008D2299"/>
    <w:rsid w:val="008D5F8E"/>
    <w:rsid w:val="008D66E3"/>
    <w:rsid w:val="008E2809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D5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661ED"/>
    <w:rsid w:val="009714FE"/>
    <w:rsid w:val="009733D6"/>
    <w:rsid w:val="0098179F"/>
    <w:rsid w:val="00984F5A"/>
    <w:rsid w:val="00990737"/>
    <w:rsid w:val="0099277D"/>
    <w:rsid w:val="009939DE"/>
    <w:rsid w:val="009A3067"/>
    <w:rsid w:val="009A599C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E4B71"/>
    <w:rsid w:val="009F58C0"/>
    <w:rsid w:val="00A02738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309C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2F08"/>
    <w:rsid w:val="00B26E8D"/>
    <w:rsid w:val="00B318AF"/>
    <w:rsid w:val="00B36505"/>
    <w:rsid w:val="00B5308D"/>
    <w:rsid w:val="00B5471A"/>
    <w:rsid w:val="00B62AB2"/>
    <w:rsid w:val="00B76559"/>
    <w:rsid w:val="00B7763F"/>
    <w:rsid w:val="00B806B7"/>
    <w:rsid w:val="00BA2F0E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35C"/>
    <w:rsid w:val="00BF36B3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14081"/>
    <w:rsid w:val="00C23375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2701"/>
    <w:rsid w:val="00C954AF"/>
    <w:rsid w:val="00CA1E87"/>
    <w:rsid w:val="00CA25C0"/>
    <w:rsid w:val="00CA6DC7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55E76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3902"/>
    <w:rsid w:val="00D94DDF"/>
    <w:rsid w:val="00D95FA1"/>
    <w:rsid w:val="00D97336"/>
    <w:rsid w:val="00DA0B2B"/>
    <w:rsid w:val="00DA40F5"/>
    <w:rsid w:val="00DB0C65"/>
    <w:rsid w:val="00DB3477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0CCD"/>
    <w:rsid w:val="00E23CCD"/>
    <w:rsid w:val="00E31FDA"/>
    <w:rsid w:val="00E330F5"/>
    <w:rsid w:val="00E35137"/>
    <w:rsid w:val="00E364C1"/>
    <w:rsid w:val="00E370BA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B611E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87C76"/>
    <w:rsid w:val="00F92DC5"/>
    <w:rsid w:val="00F973D8"/>
    <w:rsid w:val="00F97EA4"/>
    <w:rsid w:val="00FA3D11"/>
    <w:rsid w:val="00FA4E19"/>
    <w:rsid w:val="00FA79D0"/>
    <w:rsid w:val="00FC1698"/>
    <w:rsid w:val="00FC1F7F"/>
    <w:rsid w:val="00FC765D"/>
    <w:rsid w:val="00FD0007"/>
    <w:rsid w:val="00FD07E7"/>
    <w:rsid w:val="00FD08D0"/>
    <w:rsid w:val="00FD15AC"/>
    <w:rsid w:val="00FE09C5"/>
    <w:rsid w:val="00FE329A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  <w:style w:type="paragraph" w:customStyle="1" w:styleId="Default">
    <w:name w:val="Default"/>
    <w:rsid w:val="00B26E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6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6</cp:revision>
  <cp:lastPrinted>2018-06-13T20:52:00Z</cp:lastPrinted>
  <dcterms:created xsi:type="dcterms:W3CDTF">2022-06-08T17:39:00Z</dcterms:created>
  <dcterms:modified xsi:type="dcterms:W3CDTF">2022-08-16T20:42:00Z</dcterms:modified>
</cp:coreProperties>
</file>